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12ED0">
      <w:pPr>
        <w:rPr>
          <w:rFonts w:hint="eastAsia" w:ascii="仿宋" w:hAnsi="仿宋" w:eastAsia="仿宋" w:cs="仿宋"/>
          <w:b/>
          <w:bCs/>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lang w:val="en-US" w:eastAsia="zh-CN"/>
        </w:rPr>
        <w:t>项目编号：</w:t>
      </w:r>
      <w:r>
        <w:rPr>
          <w:rFonts w:hint="eastAsia" w:ascii="仿宋" w:hAnsi="仿宋" w:eastAsia="仿宋" w:cs="仿宋"/>
          <w:b/>
          <w:bCs/>
          <w:i w:val="0"/>
          <w:iCs w:val="0"/>
          <w:caps w:val="0"/>
          <w:color w:val="333333"/>
          <w:spacing w:val="0"/>
          <w:sz w:val="32"/>
          <w:szCs w:val="32"/>
        </w:rPr>
        <w:t>ZH-SJC-[2024]092号</w:t>
      </w:r>
    </w:p>
    <w:p w14:paraId="36F80D98">
      <w:pPr>
        <w:rPr>
          <w:rFonts w:hint="eastAsia" w:ascii="仿宋" w:hAnsi="仿宋" w:eastAsia="仿宋" w:cs="仿宋"/>
          <w:b/>
          <w:bCs/>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lang w:val="en-US" w:eastAsia="zh-CN"/>
        </w:rPr>
        <w:t>项目名称：</w:t>
      </w:r>
      <w:r>
        <w:rPr>
          <w:rFonts w:hint="eastAsia" w:ascii="仿宋" w:hAnsi="仿宋" w:eastAsia="仿宋" w:cs="仿宋"/>
          <w:b/>
          <w:bCs/>
          <w:i w:val="0"/>
          <w:iCs w:val="0"/>
          <w:caps w:val="0"/>
          <w:color w:val="333333"/>
          <w:spacing w:val="0"/>
          <w:sz w:val="32"/>
          <w:szCs w:val="32"/>
        </w:rPr>
        <w:t>常州大学共享自行车、电动自行车服务项目</w:t>
      </w:r>
    </w:p>
    <w:p w14:paraId="3E664455">
      <w:pPr>
        <w:jc w:val="center"/>
        <w:rPr>
          <w:rFonts w:hint="eastAsia" w:ascii="仿宋" w:hAnsi="仿宋" w:eastAsia="仿宋" w:cs="仿宋"/>
          <w:b/>
          <w:bCs/>
          <w:i w:val="0"/>
          <w:iCs w:val="0"/>
          <w:caps w:val="0"/>
          <w:color w:val="333333"/>
          <w:spacing w:val="0"/>
          <w:sz w:val="32"/>
          <w:szCs w:val="32"/>
          <w:lang w:val="en-US" w:eastAsia="zh-CN"/>
        </w:rPr>
      </w:pPr>
      <w:r>
        <w:rPr>
          <w:rFonts w:hint="eastAsia" w:ascii="仿宋" w:hAnsi="仿宋" w:eastAsia="仿宋" w:cs="仿宋"/>
          <w:b/>
          <w:bCs/>
          <w:i w:val="0"/>
          <w:iCs w:val="0"/>
          <w:caps w:val="0"/>
          <w:color w:val="333333"/>
          <w:spacing w:val="0"/>
          <w:sz w:val="32"/>
          <w:szCs w:val="32"/>
          <w:lang w:val="en-US" w:eastAsia="zh-CN"/>
        </w:rPr>
        <w:t>更正后的评分标准</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1012"/>
        <w:gridCol w:w="21"/>
        <w:gridCol w:w="1438"/>
        <w:gridCol w:w="14"/>
        <w:gridCol w:w="4843"/>
      </w:tblGrid>
      <w:tr w14:paraId="45401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8" w:type="dxa"/>
            <w:vAlign w:val="center"/>
          </w:tcPr>
          <w:p w14:paraId="55809D1E">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ascii="Times New Roman" w:hAnsi="Times New Roman" w:eastAsia="宋体" w:cs="Times New Roman"/>
                <w:kern w:val="0"/>
                <w:sz w:val="24"/>
                <w:szCs w:val="24"/>
                <w14:ligatures w14:val="none"/>
              </w:rPr>
              <w:t>序号</w:t>
            </w:r>
          </w:p>
        </w:tc>
        <w:tc>
          <w:tcPr>
            <w:tcW w:w="1033" w:type="dxa"/>
            <w:gridSpan w:val="2"/>
            <w:vAlign w:val="center"/>
          </w:tcPr>
          <w:p w14:paraId="34761042">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ascii="Times New Roman" w:hAnsi="Times New Roman" w:eastAsia="宋体" w:cs="Times New Roman"/>
                <w:kern w:val="0"/>
                <w:sz w:val="24"/>
                <w:szCs w:val="24"/>
                <w14:ligatures w14:val="none"/>
              </w:rPr>
              <w:t>类别</w:t>
            </w:r>
          </w:p>
        </w:tc>
        <w:tc>
          <w:tcPr>
            <w:tcW w:w="1438" w:type="dxa"/>
            <w:vAlign w:val="center"/>
          </w:tcPr>
          <w:p w14:paraId="405ADDC0">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hint="eastAsia" w:ascii="Times New Roman" w:hAnsi="Times New Roman" w:eastAsia="宋体" w:cs="Times New Roman"/>
                <w:kern w:val="0"/>
                <w:sz w:val="24"/>
                <w:szCs w:val="24"/>
                <w14:ligatures w14:val="none"/>
              </w:rPr>
              <w:t>分值</w:t>
            </w:r>
          </w:p>
        </w:tc>
        <w:tc>
          <w:tcPr>
            <w:tcW w:w="4857" w:type="dxa"/>
            <w:gridSpan w:val="2"/>
            <w:vAlign w:val="center"/>
          </w:tcPr>
          <w:p w14:paraId="42F121A0">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ascii="Times New Roman" w:hAnsi="Times New Roman" w:eastAsia="宋体" w:cs="Times New Roman"/>
                <w:kern w:val="0"/>
                <w:sz w:val="24"/>
                <w:szCs w:val="24"/>
                <w14:ligatures w14:val="none"/>
              </w:rPr>
              <w:t>评分标准</w:t>
            </w:r>
          </w:p>
        </w:tc>
      </w:tr>
      <w:tr w14:paraId="1467D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8" w:hRule="atLeast"/>
          <w:jc w:val="center"/>
        </w:trPr>
        <w:tc>
          <w:tcPr>
            <w:tcW w:w="968" w:type="dxa"/>
            <w:vAlign w:val="center"/>
          </w:tcPr>
          <w:p w14:paraId="3546572E">
            <w:pPr>
              <w:widowControl/>
              <w:tabs>
                <w:tab w:val="left" w:pos="1080"/>
                <w:tab w:val="left" w:pos="1872"/>
              </w:tabs>
              <w:snapToGrid w:val="0"/>
              <w:spacing w:after="0" w:line="360" w:lineRule="auto"/>
              <w:jc w:val="center"/>
              <w:rPr>
                <w:rFonts w:ascii="Times New Roman" w:hAnsi="Times New Roman" w:cs="Times New Roman" w:eastAsiaTheme="minorEastAsia"/>
                <w:kern w:val="0"/>
                <w:sz w:val="24"/>
                <w:szCs w:val="24"/>
                <w14:ligatures w14:val="none"/>
              </w:rPr>
            </w:pPr>
            <w:r>
              <w:rPr>
                <w:rFonts w:hint="eastAsia" w:ascii="Times New Roman" w:hAnsi="Times New Roman" w:eastAsia="宋体" w:cs="Times New Roman"/>
                <w:kern w:val="0"/>
                <w:sz w:val="24"/>
                <w:szCs w:val="24"/>
                <w14:ligatures w14:val="none"/>
              </w:rPr>
              <w:t>1</w:t>
            </w:r>
          </w:p>
        </w:tc>
        <w:tc>
          <w:tcPr>
            <w:tcW w:w="1033" w:type="dxa"/>
            <w:gridSpan w:val="2"/>
            <w:vAlign w:val="center"/>
          </w:tcPr>
          <w:p w14:paraId="6E29B1A5">
            <w:pPr>
              <w:widowControl/>
              <w:tabs>
                <w:tab w:val="left" w:pos="1080"/>
                <w:tab w:val="left" w:pos="1872"/>
              </w:tabs>
              <w:snapToGrid w:val="0"/>
              <w:spacing w:after="0" w:line="360" w:lineRule="auto"/>
              <w:jc w:val="center"/>
              <w:rPr>
                <w:rFonts w:ascii="Times New Roman" w:hAnsi="Times New Roman" w:cs="Times New Roman" w:eastAsiaTheme="minorEastAsia"/>
                <w:kern w:val="0"/>
                <w:sz w:val="24"/>
                <w:szCs w:val="24"/>
                <w14:ligatures w14:val="none"/>
              </w:rPr>
            </w:pPr>
            <w:r>
              <w:rPr>
                <w:rFonts w:hint="eastAsia" w:ascii="Times New Roman" w:hAnsi="Times New Roman" w:cs="Times New Roman" w:eastAsiaTheme="minorEastAsia"/>
                <w:kern w:val="0"/>
                <w:sz w:val="24"/>
                <w:szCs w:val="24"/>
                <w14:ligatures w14:val="none"/>
              </w:rPr>
              <w:t>价格分</w:t>
            </w:r>
          </w:p>
        </w:tc>
        <w:tc>
          <w:tcPr>
            <w:tcW w:w="1438" w:type="dxa"/>
            <w:vAlign w:val="center"/>
          </w:tcPr>
          <w:p w14:paraId="75A0156A">
            <w:pPr>
              <w:widowControl/>
              <w:tabs>
                <w:tab w:val="left" w:pos="1080"/>
                <w:tab w:val="left" w:pos="1872"/>
              </w:tabs>
              <w:snapToGrid w:val="0"/>
              <w:spacing w:after="0" w:line="360" w:lineRule="auto"/>
              <w:jc w:val="center"/>
              <w:rPr>
                <w:rFonts w:ascii="Times New Roman" w:hAnsi="Times New Roman" w:cs="Times New Roman" w:eastAsiaTheme="minorEastAsia"/>
                <w:kern w:val="0"/>
                <w:sz w:val="24"/>
                <w:szCs w:val="24"/>
                <w14:ligatures w14:val="none"/>
              </w:rPr>
            </w:pPr>
            <w:r>
              <w:rPr>
                <w:rFonts w:hint="eastAsia" w:ascii="Times New Roman" w:hAnsi="Times New Roman" w:cs="Times New Roman" w:eastAsiaTheme="minorEastAsia"/>
                <w:kern w:val="0"/>
                <w:sz w:val="24"/>
                <w:szCs w:val="24"/>
                <w14:ligatures w14:val="none"/>
              </w:rPr>
              <w:t>30</w:t>
            </w:r>
          </w:p>
        </w:tc>
        <w:tc>
          <w:tcPr>
            <w:tcW w:w="4857" w:type="dxa"/>
            <w:gridSpan w:val="2"/>
            <w:vAlign w:val="center"/>
          </w:tcPr>
          <w:p w14:paraId="5ACA1960">
            <w:pPr>
              <w:adjustRightInd w:val="0"/>
              <w:snapToGrid w:val="0"/>
              <w:spacing w:after="0" w:line="360" w:lineRule="exact"/>
              <w:rPr>
                <w:rFonts w:hint="eastAsia" w:ascii="宋体" w:hAnsi="宋体" w:eastAsia="宋体" w:cs="Times New Roman"/>
                <w:color w:val="000000"/>
                <w:kern w:val="0"/>
                <w:sz w:val="24"/>
                <w:szCs w:val="24"/>
                <w14:ligatures w14:val="none"/>
              </w:rPr>
            </w:pPr>
            <w:r>
              <w:rPr>
                <w:rFonts w:hint="eastAsia" w:ascii="宋体" w:hAnsi="宋体" w:eastAsia="宋体" w:cs="Times New Roman"/>
                <w:color w:val="000000"/>
                <w:kern w:val="0"/>
                <w:sz w:val="24"/>
                <w:szCs w:val="24"/>
                <w14:ligatures w14:val="none"/>
              </w:rPr>
              <w:t>价格分采用低价优先法计算，即满足竞争性磋商文件要求且磋商价格最低（折扣率最高）的磋商报价为磋商基准价，其价格分为满分。其他供应商的价格分统一按照下列公式计算（计算结果四舍五入保留两位小数）：</w:t>
            </w:r>
          </w:p>
          <w:p w14:paraId="6019564E">
            <w:pPr>
              <w:widowControl/>
              <w:tabs>
                <w:tab w:val="left" w:pos="1080"/>
                <w:tab w:val="left" w:pos="1872"/>
              </w:tabs>
              <w:snapToGrid w:val="0"/>
              <w:spacing w:after="0" w:line="360" w:lineRule="auto"/>
              <w:rPr>
                <w:rFonts w:ascii="Times New Roman" w:hAnsi="Times New Roman" w:eastAsia="宋体" w:cs="Times New Roman"/>
                <w:kern w:val="0"/>
                <w:sz w:val="24"/>
                <w:szCs w:val="24"/>
                <w14:ligatures w14:val="none"/>
              </w:rPr>
            </w:pPr>
            <w:r>
              <w:rPr>
                <w:rFonts w:hint="eastAsia" w:ascii="宋体" w:hAnsi="宋体" w:eastAsia="宋体" w:cs="Times New Roman"/>
                <w:color w:val="000000"/>
                <w:kern w:val="0"/>
                <w:sz w:val="24"/>
                <w:szCs w:val="24"/>
                <w14:ligatures w14:val="none"/>
              </w:rPr>
              <w:t>磋商报价得分=（磋商基准价/最后磋商报价）*价格权重。</w:t>
            </w:r>
            <w:bookmarkStart w:id="0" w:name="_GoBack"/>
            <w:bookmarkEnd w:id="0"/>
          </w:p>
        </w:tc>
      </w:tr>
      <w:tr w14:paraId="5B48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6"/>
            <w:vAlign w:val="center"/>
          </w:tcPr>
          <w:p w14:paraId="141A6378">
            <w:pPr>
              <w:widowControl/>
              <w:tabs>
                <w:tab w:val="left" w:pos="1080"/>
                <w:tab w:val="left" w:pos="1872"/>
              </w:tabs>
              <w:snapToGrid w:val="0"/>
              <w:spacing w:after="0" w:line="360" w:lineRule="auto"/>
              <w:rPr>
                <w:rFonts w:ascii="Times New Roman" w:hAnsi="Times New Roman" w:eastAsia="宋体" w:cs="Times New Roman"/>
                <w:kern w:val="0"/>
                <w:sz w:val="24"/>
                <w:szCs w:val="24"/>
                <w:highlight w:val="none"/>
                <w14:ligatures w14:val="none"/>
              </w:rPr>
            </w:pPr>
            <w:r>
              <w:rPr>
                <w:rFonts w:hint="eastAsia" w:ascii="Times New Roman" w:hAnsi="Times New Roman" w:eastAsia="宋体" w:cs="Times New Roman"/>
                <w:kern w:val="0"/>
                <w:sz w:val="24"/>
                <w:szCs w:val="24"/>
                <w:highlight w:val="none"/>
                <w14:ligatures w14:val="none"/>
              </w:rPr>
              <w:t>商务分（</w:t>
            </w:r>
            <w:r>
              <w:rPr>
                <w:rFonts w:ascii="Times New Roman" w:hAnsi="Times New Roman" w:eastAsia="宋体" w:cs="Times New Roman"/>
                <w:kern w:val="0"/>
                <w:sz w:val="24"/>
                <w:szCs w:val="24"/>
                <w:highlight w:val="none"/>
                <w14:ligatures w14:val="none"/>
              </w:rPr>
              <w:t>36</w:t>
            </w:r>
            <w:r>
              <w:rPr>
                <w:rFonts w:hint="eastAsia" w:ascii="Times New Roman" w:hAnsi="Times New Roman" w:eastAsia="宋体" w:cs="Times New Roman"/>
                <w:kern w:val="0"/>
                <w:sz w:val="24"/>
                <w:szCs w:val="24"/>
                <w:highlight w:val="none"/>
                <w14:ligatures w14:val="none"/>
              </w:rPr>
              <w:t>分）</w:t>
            </w:r>
          </w:p>
        </w:tc>
      </w:tr>
      <w:tr w14:paraId="74062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968" w:type="dxa"/>
            <w:vAlign w:val="center"/>
          </w:tcPr>
          <w:p w14:paraId="72A38A65">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hint="eastAsia" w:ascii="Times New Roman" w:hAnsi="Times New Roman" w:eastAsia="宋体" w:cs="Times New Roman"/>
                <w:kern w:val="0"/>
                <w:sz w:val="24"/>
                <w:szCs w:val="24"/>
                <w14:ligatures w14:val="none"/>
              </w:rPr>
              <w:t>1</w:t>
            </w:r>
          </w:p>
        </w:tc>
        <w:tc>
          <w:tcPr>
            <w:tcW w:w="1033" w:type="dxa"/>
            <w:gridSpan w:val="2"/>
            <w:vAlign w:val="center"/>
          </w:tcPr>
          <w:p w14:paraId="03D6662E">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支援校园建设费</w:t>
            </w:r>
          </w:p>
        </w:tc>
        <w:tc>
          <w:tcPr>
            <w:tcW w:w="1438" w:type="dxa"/>
            <w:vAlign w:val="center"/>
          </w:tcPr>
          <w:p w14:paraId="788D3F07">
            <w:pPr>
              <w:widowControl/>
              <w:spacing w:after="0" w:line="240" w:lineRule="auto"/>
              <w:jc w:val="center"/>
              <w:textAlignment w:val="center"/>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10</w:t>
            </w:r>
          </w:p>
        </w:tc>
        <w:tc>
          <w:tcPr>
            <w:tcW w:w="4857" w:type="dxa"/>
            <w:gridSpan w:val="2"/>
            <w:vAlign w:val="center"/>
          </w:tcPr>
          <w:p w14:paraId="0438C341">
            <w:pPr>
              <w:widowControl/>
              <w:spacing w:after="0" w:line="240" w:lineRule="auto"/>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投标供应商承诺每年向采购人缴纳5万元的支援校园建设费，在此基础上每年多缴纳1万元得2分，最高得10分。</w:t>
            </w:r>
          </w:p>
          <w:p w14:paraId="506992A2">
            <w:pPr>
              <w:widowControl/>
              <w:spacing w:after="0" w:line="240" w:lineRule="auto"/>
              <w:textAlignment w:val="center"/>
              <w:rPr>
                <w:rFonts w:ascii="Times New Roman" w:hAnsi="Times New Roman" w:eastAsia="宋体" w:cs="Times New Roman"/>
                <w:kern w:val="0"/>
                <w:sz w:val="24"/>
                <w:szCs w:val="24"/>
                <w14:ligatures w14:val="none"/>
              </w:rPr>
            </w:pPr>
            <w:r>
              <w:rPr>
                <w:rFonts w:hint="eastAsia" w:ascii="宋体" w:hAnsi="宋体" w:eastAsia="宋体" w:cs="宋体"/>
                <w:b/>
                <w:bCs/>
                <w:color w:val="000000"/>
                <w:kern w:val="0"/>
                <w:sz w:val="24"/>
                <w:szCs w:val="24"/>
                <w:lang w:bidi="ar"/>
                <w14:ligatures w14:val="none"/>
              </w:rPr>
              <w:t>注：响应文件中提供承诺书并加</w:t>
            </w:r>
            <w:r>
              <w:rPr>
                <w:rFonts w:hint="eastAsia" w:ascii="宋体" w:hAnsi="宋体" w:eastAsia="宋体" w:cs="宋体"/>
                <w:b/>
                <w:kern w:val="0"/>
                <w:sz w:val="24"/>
                <w:szCs w:val="24"/>
                <w14:ligatures w14:val="none"/>
              </w:rPr>
              <w:t>投标供应商公章</w:t>
            </w:r>
            <w:r>
              <w:rPr>
                <w:rFonts w:hint="eastAsia" w:ascii="宋体" w:hAnsi="宋体" w:eastAsia="宋体" w:cs="宋体"/>
                <w:b/>
                <w:bCs/>
                <w:color w:val="000000"/>
                <w:kern w:val="0"/>
                <w:sz w:val="24"/>
                <w:szCs w:val="24"/>
                <w:lang w:bidi="ar"/>
                <w14:ligatures w14:val="none"/>
              </w:rPr>
              <w:t>。</w:t>
            </w:r>
          </w:p>
        </w:tc>
      </w:tr>
      <w:tr w14:paraId="08BE4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0DAE03F7">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hint="eastAsia" w:ascii="Times New Roman" w:hAnsi="Times New Roman" w:eastAsia="宋体" w:cs="Times New Roman"/>
                <w:kern w:val="0"/>
                <w:sz w:val="24"/>
                <w:szCs w:val="24"/>
                <w14:ligatures w14:val="none"/>
              </w:rPr>
              <w:t>2</w:t>
            </w:r>
          </w:p>
        </w:tc>
        <w:tc>
          <w:tcPr>
            <w:tcW w:w="1033" w:type="dxa"/>
            <w:gridSpan w:val="2"/>
            <w:vAlign w:val="center"/>
          </w:tcPr>
          <w:p w14:paraId="0BE790B9">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管理认证体系</w:t>
            </w:r>
          </w:p>
        </w:tc>
        <w:tc>
          <w:tcPr>
            <w:tcW w:w="1438" w:type="dxa"/>
            <w:vAlign w:val="center"/>
          </w:tcPr>
          <w:p w14:paraId="26792034">
            <w:pPr>
              <w:widowControl/>
              <w:spacing w:after="0" w:line="240" w:lineRule="auto"/>
              <w:jc w:val="center"/>
              <w:textAlignment w:val="center"/>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5</w:t>
            </w:r>
          </w:p>
        </w:tc>
        <w:tc>
          <w:tcPr>
            <w:tcW w:w="4857" w:type="dxa"/>
            <w:gridSpan w:val="2"/>
            <w:vAlign w:val="center"/>
          </w:tcPr>
          <w:p w14:paraId="0EC37466">
            <w:pPr>
              <w:widowControl/>
              <w:spacing w:after="0" w:line="240" w:lineRule="auto"/>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具有ISO9001质量管理体系认证、ISO14001环境管理体系认证、ISO45001职业健康安全管理体系认证、ISO20000信息技术服务体系认证、ISO27001信息安全体系认证，认证范围必须包含单车或电单车相关服务且在有效期内，提供一个得1分，最高得5分。</w:t>
            </w:r>
          </w:p>
          <w:p w14:paraId="7A90BC77">
            <w:pPr>
              <w:widowControl/>
              <w:spacing w:after="0" w:line="240" w:lineRule="auto"/>
              <w:textAlignment w:val="center"/>
              <w:rPr>
                <w:rFonts w:ascii="Times New Roman" w:hAnsi="Times New Roman" w:eastAsia="宋体" w:cs="Times New Roman"/>
                <w:kern w:val="0"/>
                <w:sz w:val="24"/>
                <w:szCs w:val="24"/>
                <w14:ligatures w14:val="none"/>
              </w:rPr>
            </w:pPr>
            <w:r>
              <w:rPr>
                <w:rFonts w:hint="eastAsia" w:ascii="宋体" w:hAnsi="宋体" w:eastAsia="宋体" w:cs="宋体"/>
                <w:b/>
                <w:bCs/>
                <w:color w:val="000000"/>
                <w:kern w:val="0"/>
                <w:sz w:val="24"/>
                <w:szCs w:val="24"/>
                <w:lang w:bidi="ar"/>
                <w14:ligatures w14:val="none"/>
              </w:rPr>
              <w:t>注：响应文件中提供证书复印件并加盖</w:t>
            </w:r>
            <w:r>
              <w:rPr>
                <w:rFonts w:hint="eastAsia" w:ascii="宋体" w:hAnsi="宋体" w:eastAsia="宋体" w:cs="宋体"/>
                <w:b/>
                <w:kern w:val="0"/>
                <w:sz w:val="24"/>
                <w:szCs w:val="24"/>
                <w14:ligatures w14:val="none"/>
              </w:rPr>
              <w:t>投标供应商公章</w:t>
            </w:r>
            <w:r>
              <w:rPr>
                <w:rFonts w:hint="eastAsia" w:ascii="宋体" w:hAnsi="宋体" w:eastAsia="宋体" w:cs="宋体"/>
                <w:b/>
                <w:bCs/>
                <w:color w:val="000000"/>
                <w:kern w:val="0"/>
                <w:sz w:val="24"/>
                <w:szCs w:val="24"/>
                <w:lang w:bidi="ar"/>
                <w14:ligatures w14:val="none"/>
              </w:rPr>
              <w:t>。</w:t>
            </w:r>
          </w:p>
        </w:tc>
      </w:tr>
      <w:tr w14:paraId="6605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Merge w:val="restart"/>
            <w:vAlign w:val="center"/>
          </w:tcPr>
          <w:p w14:paraId="09E00405">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r>
              <w:rPr>
                <w:rFonts w:hint="eastAsia" w:ascii="Times New Roman" w:hAnsi="Times New Roman" w:eastAsia="宋体" w:cs="Times New Roman"/>
                <w:kern w:val="0"/>
                <w:sz w:val="24"/>
                <w:szCs w:val="24"/>
                <w14:ligatures w14:val="none"/>
              </w:rPr>
              <w:t>3</w:t>
            </w:r>
          </w:p>
        </w:tc>
        <w:tc>
          <w:tcPr>
            <w:tcW w:w="1033" w:type="dxa"/>
            <w:gridSpan w:val="2"/>
            <w:vMerge w:val="restart"/>
            <w:vAlign w:val="center"/>
          </w:tcPr>
          <w:p w14:paraId="794941A1">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案例业绩</w:t>
            </w:r>
          </w:p>
        </w:tc>
        <w:tc>
          <w:tcPr>
            <w:tcW w:w="1438" w:type="dxa"/>
            <w:vAlign w:val="center"/>
          </w:tcPr>
          <w:p w14:paraId="302705DB">
            <w:pPr>
              <w:widowControl/>
              <w:spacing w:after="0" w:line="240" w:lineRule="auto"/>
              <w:jc w:val="center"/>
              <w:textAlignment w:val="center"/>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10</w:t>
            </w:r>
          </w:p>
        </w:tc>
        <w:tc>
          <w:tcPr>
            <w:tcW w:w="4857" w:type="dxa"/>
            <w:gridSpan w:val="2"/>
            <w:vAlign w:val="center"/>
          </w:tcPr>
          <w:p w14:paraId="544CF806">
            <w:pPr>
              <w:widowControl/>
              <w:spacing w:after="0" w:line="240" w:lineRule="auto"/>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投标供应商提供2021年1月1日（以合同签订时间为准）以来同类型高校共享单车或电单车运营的项目业绩，每提供一份符合要求的业绩材料得2分，最高得10分。</w:t>
            </w:r>
          </w:p>
          <w:p w14:paraId="03B51754">
            <w:pPr>
              <w:widowControl/>
              <w:spacing w:after="0" w:line="240" w:lineRule="auto"/>
              <w:textAlignment w:val="center"/>
              <w:rPr>
                <w:rFonts w:hint="eastAsia" w:ascii="宋体" w:hAnsi="宋体" w:eastAsia="宋体" w:cs="Times New Roman"/>
                <w:kern w:val="0"/>
                <w:sz w:val="24"/>
                <w:szCs w:val="24"/>
                <w14:ligatures w14:val="none"/>
              </w:rPr>
            </w:pPr>
            <w:r>
              <w:rPr>
                <w:rFonts w:hint="eastAsia" w:ascii="宋体" w:hAnsi="宋体" w:eastAsia="宋体" w:cs="宋体"/>
                <w:b/>
                <w:bCs/>
                <w:color w:val="000000"/>
                <w:kern w:val="0"/>
                <w:sz w:val="24"/>
                <w:szCs w:val="24"/>
                <w:lang w:bidi="ar"/>
                <w14:ligatures w14:val="none"/>
              </w:rPr>
              <w:t>注：响应文件中提供合同或中标通知书复印件并加盖</w:t>
            </w:r>
            <w:r>
              <w:rPr>
                <w:rFonts w:hint="eastAsia" w:ascii="宋体" w:hAnsi="宋体" w:eastAsia="宋体" w:cs="宋体"/>
                <w:b/>
                <w:kern w:val="0"/>
                <w:sz w:val="24"/>
                <w:szCs w:val="24"/>
                <w14:ligatures w14:val="none"/>
              </w:rPr>
              <w:t>投标供应商公</w:t>
            </w:r>
            <w:r>
              <w:rPr>
                <w:rFonts w:hint="eastAsia" w:ascii="宋体" w:hAnsi="宋体" w:eastAsia="宋体" w:cs="宋体"/>
                <w:b/>
                <w:bCs/>
                <w:color w:val="000000"/>
                <w:kern w:val="0"/>
                <w:sz w:val="24"/>
                <w:szCs w:val="24"/>
                <w:lang w:bidi="ar"/>
                <w14:ligatures w14:val="none"/>
              </w:rPr>
              <w:t>章。</w:t>
            </w:r>
          </w:p>
        </w:tc>
      </w:tr>
      <w:tr w14:paraId="07390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Merge w:val="continue"/>
            <w:vAlign w:val="center"/>
          </w:tcPr>
          <w:p w14:paraId="2B855136">
            <w:pPr>
              <w:widowControl/>
              <w:tabs>
                <w:tab w:val="left" w:pos="1080"/>
                <w:tab w:val="left" w:pos="1872"/>
              </w:tabs>
              <w:snapToGrid w:val="0"/>
              <w:spacing w:after="0" w:line="360" w:lineRule="auto"/>
              <w:jc w:val="center"/>
              <w:rPr>
                <w:rFonts w:ascii="Times New Roman" w:hAnsi="Times New Roman" w:eastAsia="宋体" w:cs="Times New Roman"/>
                <w:kern w:val="0"/>
                <w:sz w:val="24"/>
                <w:szCs w:val="24"/>
                <w14:ligatures w14:val="none"/>
              </w:rPr>
            </w:pPr>
          </w:p>
        </w:tc>
        <w:tc>
          <w:tcPr>
            <w:tcW w:w="1033" w:type="dxa"/>
            <w:gridSpan w:val="2"/>
            <w:vMerge w:val="continue"/>
            <w:vAlign w:val="center"/>
          </w:tcPr>
          <w:p w14:paraId="7A05F090">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p>
        </w:tc>
        <w:tc>
          <w:tcPr>
            <w:tcW w:w="1438" w:type="dxa"/>
            <w:vAlign w:val="center"/>
          </w:tcPr>
          <w:p w14:paraId="13D65681">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5</w:t>
            </w:r>
          </w:p>
        </w:tc>
        <w:tc>
          <w:tcPr>
            <w:tcW w:w="4857" w:type="dxa"/>
            <w:gridSpan w:val="2"/>
            <w:vAlign w:val="center"/>
          </w:tcPr>
          <w:p w14:paraId="2D65B836">
            <w:pPr>
              <w:adjustRightInd w:val="0"/>
              <w:snapToGrid w:val="0"/>
              <w:spacing w:after="0" w:line="300" w:lineRule="exact"/>
              <w:rPr>
                <w:rFonts w:ascii="宋体" w:hAnsi="Times New Roman" w:eastAsia="宋体" w:cs="宋体"/>
                <w:kern w:val="0"/>
                <w:sz w:val="24"/>
                <w:szCs w:val="24"/>
                <w14:ligatures w14:val="none"/>
              </w:rPr>
            </w:pPr>
            <w:r>
              <w:rPr>
                <w:rFonts w:hint="eastAsia" w:ascii="宋体" w:hAnsi="Times New Roman" w:eastAsia="宋体" w:cs="宋体"/>
                <w:kern w:val="0"/>
                <w:sz w:val="24"/>
                <w:szCs w:val="24"/>
                <w14:ligatures w14:val="none"/>
              </w:rPr>
              <w:t>投标供应商提供上述业绩用户服务优秀或满意评价证明，每有一份得1分，最高得5分。</w:t>
            </w:r>
          </w:p>
          <w:p w14:paraId="3190112E">
            <w:pPr>
              <w:widowControl/>
              <w:spacing w:after="0" w:line="240" w:lineRule="auto"/>
              <w:textAlignment w:val="center"/>
              <w:rPr>
                <w:rFonts w:hint="eastAsia" w:ascii="宋体" w:hAnsi="宋体" w:eastAsia="宋体" w:cs="宋体"/>
                <w:b/>
                <w:bCs/>
                <w:color w:val="000000"/>
                <w:kern w:val="0"/>
                <w:sz w:val="24"/>
                <w:szCs w:val="24"/>
                <w:lang w:bidi="ar"/>
                <w14:ligatures w14:val="none"/>
              </w:rPr>
            </w:pPr>
            <w:r>
              <w:rPr>
                <w:rFonts w:hint="eastAsia" w:ascii="宋体" w:hAnsi="宋体" w:eastAsia="宋体" w:cs="宋体"/>
                <w:b/>
                <w:kern w:val="0"/>
                <w:sz w:val="24"/>
                <w:szCs w:val="24"/>
                <w14:ligatures w14:val="none"/>
              </w:rPr>
              <w:t>注：响应文件中提供上述业绩用户评价证明材料并加盖用户单位公章和投标供应商公章。</w:t>
            </w:r>
          </w:p>
        </w:tc>
      </w:tr>
      <w:tr w14:paraId="299F9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8" w:type="dxa"/>
            <w:vAlign w:val="center"/>
          </w:tcPr>
          <w:p w14:paraId="2F8F8033">
            <w:pPr>
              <w:widowControl/>
              <w:tabs>
                <w:tab w:val="left" w:pos="1080"/>
                <w:tab w:val="left" w:pos="1872"/>
              </w:tabs>
              <w:snapToGrid w:val="0"/>
              <w:spacing w:after="0" w:line="360" w:lineRule="auto"/>
              <w:jc w:val="center"/>
              <w:rPr>
                <w:rFonts w:hint="eastAsia" w:ascii="Times New Roman" w:hAnsi="Times New Roman" w:eastAsia="宋体" w:cs="Times New Roman"/>
                <w:kern w:val="0"/>
                <w:sz w:val="24"/>
                <w:szCs w:val="24"/>
                <w:lang w:eastAsia="zh-CN"/>
                <w14:ligatures w14:val="none"/>
              </w:rPr>
            </w:pPr>
            <w:r>
              <w:rPr>
                <w:rFonts w:hint="eastAsia" w:ascii="Times New Roman" w:hAnsi="Times New Roman" w:eastAsia="宋体" w:cs="Times New Roman"/>
                <w:kern w:val="0"/>
                <w:sz w:val="24"/>
                <w:szCs w:val="24"/>
                <w:lang w:val="en-US" w:eastAsia="zh-CN"/>
                <w14:ligatures w14:val="none"/>
              </w:rPr>
              <w:t>4</w:t>
            </w:r>
          </w:p>
        </w:tc>
        <w:tc>
          <w:tcPr>
            <w:tcW w:w="1033" w:type="dxa"/>
            <w:gridSpan w:val="2"/>
            <w:vAlign w:val="center"/>
          </w:tcPr>
          <w:p w14:paraId="09A8B4CF">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保险额度</w:t>
            </w:r>
          </w:p>
        </w:tc>
        <w:tc>
          <w:tcPr>
            <w:tcW w:w="1438" w:type="dxa"/>
            <w:vAlign w:val="center"/>
          </w:tcPr>
          <w:p w14:paraId="4D7A7FE3">
            <w:pPr>
              <w:widowControl/>
              <w:spacing w:after="0" w:line="240" w:lineRule="auto"/>
              <w:jc w:val="center"/>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6</w:t>
            </w:r>
          </w:p>
        </w:tc>
        <w:tc>
          <w:tcPr>
            <w:tcW w:w="4857" w:type="dxa"/>
            <w:gridSpan w:val="2"/>
            <w:vAlign w:val="center"/>
          </w:tcPr>
          <w:p w14:paraId="1499A97B">
            <w:pPr>
              <w:widowControl/>
              <w:spacing w:after="0" w:line="240" w:lineRule="auto"/>
              <w:textAlignment w:val="center"/>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投标供应商承诺为每辆车购买商业保险总额不少于30万元/年，商业保险应包括人身意外险、公众责任险和第三者责任险。在此基础上商业保险总额每增加10万得2分，最高得6分。</w:t>
            </w:r>
          </w:p>
          <w:p w14:paraId="605B419E">
            <w:pPr>
              <w:pStyle w:val="5"/>
              <w:rPr>
                <w:rFonts w:hint="eastAsia" w:ascii="宋体" w:hAnsi="宋体" w:cs="宋体"/>
                <w:b/>
                <w:bCs/>
                <w:color w:val="000000"/>
                <w:sz w:val="24"/>
                <w:szCs w:val="24"/>
                <w:lang w:bidi="ar"/>
              </w:rPr>
            </w:pPr>
            <w:r>
              <w:rPr>
                <w:rFonts w:hint="eastAsia" w:ascii="宋体" w:hAnsi="宋体" w:cs="宋体"/>
                <w:b/>
                <w:bCs/>
                <w:color w:val="000000"/>
                <w:sz w:val="24"/>
                <w:szCs w:val="24"/>
                <w:lang w:bidi="ar"/>
              </w:rPr>
              <w:t>注：响应文件中提供承诺书并加盖</w:t>
            </w:r>
            <w:r>
              <w:rPr>
                <w:rFonts w:hint="eastAsia" w:ascii="宋体" w:hAnsi="宋体" w:cs="宋体"/>
                <w:b/>
                <w:sz w:val="24"/>
                <w:szCs w:val="24"/>
              </w:rPr>
              <w:t>投标供应商公章</w:t>
            </w:r>
            <w:r>
              <w:rPr>
                <w:rFonts w:hint="eastAsia" w:ascii="宋体" w:hAnsi="宋体" w:cs="宋体"/>
                <w:b/>
                <w:bCs/>
                <w:color w:val="000000"/>
                <w:sz w:val="24"/>
                <w:szCs w:val="24"/>
                <w:lang w:bidi="ar"/>
              </w:rPr>
              <w:t>。</w:t>
            </w:r>
          </w:p>
        </w:tc>
      </w:tr>
      <w:tr w14:paraId="3BC39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6"/>
            <w:vAlign w:val="center"/>
          </w:tcPr>
          <w:p w14:paraId="13CC8646">
            <w:pPr>
              <w:widowControl/>
              <w:tabs>
                <w:tab w:val="left" w:pos="1080"/>
                <w:tab w:val="left" w:pos="1872"/>
              </w:tabs>
              <w:snapToGrid w:val="0"/>
              <w:spacing w:after="0" w:line="360" w:lineRule="auto"/>
              <w:rPr>
                <w:rFonts w:hint="eastAsia" w:ascii="宋体" w:hAnsi="宋体" w:eastAsia="宋体" w:cs="Times New Roman"/>
                <w:kern w:val="0"/>
                <w:sz w:val="24"/>
                <w:szCs w:val="24"/>
                <w:highlight w:val="none"/>
                <w14:ligatures w14:val="none"/>
              </w:rPr>
            </w:pPr>
            <w:r>
              <w:rPr>
                <w:rFonts w:hint="eastAsia" w:ascii="宋体" w:hAnsi="宋体" w:eastAsia="宋体" w:cs="Times New Roman"/>
                <w:kern w:val="0"/>
                <w:sz w:val="24"/>
                <w:szCs w:val="24"/>
                <w:highlight w:val="none"/>
                <w14:ligatures w14:val="none"/>
              </w:rPr>
              <w:t>技术分（3</w:t>
            </w:r>
            <w:r>
              <w:rPr>
                <w:rFonts w:ascii="宋体" w:hAnsi="宋体" w:eastAsia="宋体" w:cs="Times New Roman"/>
                <w:kern w:val="0"/>
                <w:sz w:val="24"/>
                <w:szCs w:val="24"/>
                <w:highlight w:val="none"/>
                <w14:ligatures w14:val="none"/>
              </w:rPr>
              <w:t>4</w:t>
            </w:r>
            <w:r>
              <w:rPr>
                <w:rFonts w:hint="eastAsia" w:ascii="宋体" w:hAnsi="宋体" w:eastAsia="宋体" w:cs="Times New Roman"/>
                <w:kern w:val="0"/>
                <w:sz w:val="24"/>
                <w:szCs w:val="24"/>
                <w:highlight w:val="none"/>
                <w14:ligatures w14:val="none"/>
              </w:rPr>
              <w:t>分）</w:t>
            </w:r>
          </w:p>
        </w:tc>
      </w:tr>
      <w:tr w14:paraId="43A22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508073F9">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1</w:t>
            </w:r>
          </w:p>
        </w:tc>
        <w:tc>
          <w:tcPr>
            <w:tcW w:w="1012" w:type="dxa"/>
            <w:vAlign w:val="center"/>
          </w:tcPr>
          <w:p w14:paraId="4DB20A60">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运营环境设施建设方案</w:t>
            </w:r>
          </w:p>
        </w:tc>
        <w:tc>
          <w:tcPr>
            <w:tcW w:w="1473" w:type="dxa"/>
            <w:gridSpan w:val="3"/>
            <w:vAlign w:val="center"/>
          </w:tcPr>
          <w:p w14:paraId="0CC24409">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5</w:t>
            </w:r>
          </w:p>
        </w:tc>
        <w:tc>
          <w:tcPr>
            <w:tcW w:w="4843" w:type="dxa"/>
            <w:vAlign w:val="center"/>
          </w:tcPr>
          <w:p w14:paraId="735F9257">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投标供应商需针对本项目情况，在正式运营前进行相关运营环境设施的运营方案，包括科学划定骑行区域、电子围栏、重点区域等。</w:t>
            </w:r>
          </w:p>
          <w:p w14:paraId="73A59020">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1）方案详细具体、针对性强、可行性高，得5分；</w:t>
            </w:r>
          </w:p>
          <w:p w14:paraId="096ABAF0">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2）方案较为详细具体、针对性较强、可行性较高，重点内容描述欠缺的得3分；</w:t>
            </w:r>
          </w:p>
          <w:p w14:paraId="18E64360">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3）方案基本完整、有一定针对性、可行性一般，运营方案内容模糊，不太适用项目情况得1分；</w:t>
            </w:r>
          </w:p>
          <w:p w14:paraId="4B8E7EA4">
            <w:pPr>
              <w:widowControl/>
              <w:tabs>
                <w:tab w:val="left" w:pos="1080"/>
                <w:tab w:val="left" w:pos="1872"/>
              </w:tabs>
              <w:snapToGrid w:val="0"/>
              <w:spacing w:after="0" w:line="360" w:lineRule="auto"/>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4）未提供不得分。</w:t>
            </w:r>
          </w:p>
        </w:tc>
      </w:tr>
      <w:tr w14:paraId="635C6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0C7B828B">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2</w:t>
            </w:r>
          </w:p>
        </w:tc>
        <w:tc>
          <w:tcPr>
            <w:tcW w:w="1012" w:type="dxa"/>
            <w:vAlign w:val="center"/>
          </w:tcPr>
          <w:p w14:paraId="0228A98B">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日常运维管理方案</w:t>
            </w:r>
          </w:p>
        </w:tc>
        <w:tc>
          <w:tcPr>
            <w:tcW w:w="1473" w:type="dxa"/>
            <w:gridSpan w:val="3"/>
            <w:vAlign w:val="center"/>
          </w:tcPr>
          <w:p w14:paraId="0156CE9B">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5</w:t>
            </w:r>
          </w:p>
        </w:tc>
        <w:tc>
          <w:tcPr>
            <w:tcW w:w="4843" w:type="dxa"/>
            <w:vAlign w:val="center"/>
          </w:tcPr>
          <w:p w14:paraId="5F52948C">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需针对本项目情况，提供完整的日常运维管理方案，包括运维制度保障、网格化巡查运营维护体系方案、车辆电池更换、重大活动协助校方工作布置、应急方案、乱停乱放车辆规整、故障车辆清理等流程及处理时限。</w:t>
            </w:r>
          </w:p>
          <w:p w14:paraId="198A28FF">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1）方案详细具体、各项制度健全、上述各项方案针对性强、可行性高，符合项目使用需求得5分；</w:t>
            </w:r>
          </w:p>
          <w:p w14:paraId="41F3E156">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2）方案较为详细具体、针对性较强、可行性较高，得3分；</w:t>
            </w:r>
          </w:p>
          <w:p w14:paraId="582AB618">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3）方案基本完整、有一定针对性、可行性一般，得1分；</w:t>
            </w:r>
          </w:p>
          <w:p w14:paraId="17C62B45">
            <w:pPr>
              <w:widowControl/>
              <w:tabs>
                <w:tab w:val="left" w:pos="1080"/>
                <w:tab w:val="left" w:pos="1872"/>
              </w:tabs>
              <w:snapToGrid w:val="0"/>
              <w:spacing w:after="0" w:line="360" w:lineRule="auto"/>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4）未提供不得分。</w:t>
            </w:r>
          </w:p>
        </w:tc>
      </w:tr>
      <w:tr w14:paraId="5105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48BCD195">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3</w:t>
            </w:r>
          </w:p>
        </w:tc>
        <w:tc>
          <w:tcPr>
            <w:tcW w:w="1012" w:type="dxa"/>
            <w:vAlign w:val="center"/>
          </w:tcPr>
          <w:p w14:paraId="7E87C977">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售后服务方案</w:t>
            </w:r>
          </w:p>
        </w:tc>
        <w:tc>
          <w:tcPr>
            <w:tcW w:w="1473" w:type="dxa"/>
            <w:gridSpan w:val="3"/>
            <w:vAlign w:val="center"/>
          </w:tcPr>
          <w:p w14:paraId="3A9CD964">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5</w:t>
            </w:r>
          </w:p>
        </w:tc>
        <w:tc>
          <w:tcPr>
            <w:tcW w:w="4843" w:type="dxa"/>
            <w:vAlign w:val="center"/>
          </w:tcPr>
          <w:p w14:paraId="34BD1538">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投标供应商应提供完备的投诉处理方案、车辆质量保障方案。</w:t>
            </w:r>
          </w:p>
          <w:p w14:paraId="7E4E6F6F">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1）方案详细具体、针对性强、可行性高，得5分；</w:t>
            </w:r>
          </w:p>
          <w:p w14:paraId="3EEA0428">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2）方案较为详细具体、针对性较强、可行性较高，重点内容描述欠缺的得3分；</w:t>
            </w:r>
          </w:p>
          <w:p w14:paraId="55F34647">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3）方案基本完整、有一定针对性、可行性一般，运营方案内容模糊，不太适用项目情况得1分。</w:t>
            </w:r>
          </w:p>
          <w:p w14:paraId="14A0DB1C">
            <w:pPr>
              <w:widowControl/>
              <w:tabs>
                <w:tab w:val="left" w:pos="1080"/>
                <w:tab w:val="left" w:pos="1872"/>
              </w:tabs>
              <w:snapToGrid w:val="0"/>
              <w:spacing w:after="0" w:line="360" w:lineRule="auto"/>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4）未提供不得分。</w:t>
            </w:r>
          </w:p>
        </w:tc>
      </w:tr>
      <w:tr w14:paraId="4C71F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525C454D">
            <w:pPr>
              <w:widowControl/>
              <w:tabs>
                <w:tab w:val="left" w:pos="1080"/>
                <w:tab w:val="left" w:pos="1872"/>
              </w:tabs>
              <w:snapToGrid w:val="0"/>
              <w:spacing w:after="0" w:line="360" w:lineRule="auto"/>
              <w:jc w:val="center"/>
              <w:rPr>
                <w:rFonts w:hint="eastAsia" w:ascii="宋体" w:hAnsi="宋体" w:eastAsia="宋体" w:cs="Times New Roman"/>
                <w:kern w:val="0"/>
                <w:sz w:val="24"/>
                <w:szCs w:val="24"/>
                <w:highlight w:val="none"/>
                <w14:ligatures w14:val="none"/>
              </w:rPr>
            </w:pPr>
            <w:r>
              <w:rPr>
                <w:rFonts w:hint="eastAsia" w:ascii="宋体" w:hAnsi="宋体" w:eastAsia="宋体" w:cs="Times New Roman"/>
                <w:kern w:val="0"/>
                <w:sz w:val="24"/>
                <w:szCs w:val="24"/>
                <w:highlight w:val="none"/>
                <w14:ligatures w14:val="none"/>
              </w:rPr>
              <w:t>4</w:t>
            </w:r>
          </w:p>
        </w:tc>
        <w:tc>
          <w:tcPr>
            <w:tcW w:w="1012" w:type="dxa"/>
            <w:vAlign w:val="center"/>
          </w:tcPr>
          <w:p w14:paraId="3AA67CDF">
            <w:pPr>
              <w:widowControl/>
              <w:tabs>
                <w:tab w:val="left" w:pos="1080"/>
                <w:tab w:val="left" w:pos="1872"/>
              </w:tabs>
              <w:snapToGrid w:val="0"/>
              <w:spacing w:after="0" w:line="360" w:lineRule="auto"/>
              <w:jc w:val="center"/>
              <w:rPr>
                <w:rFonts w:hint="eastAsia" w:ascii="宋体" w:hAnsi="宋体" w:eastAsia="宋体" w:cs="Times New Roman"/>
                <w:kern w:val="0"/>
                <w:sz w:val="24"/>
                <w:szCs w:val="24"/>
                <w:highlight w:val="none"/>
                <w14:ligatures w14:val="none"/>
              </w:rPr>
            </w:pPr>
            <w:r>
              <w:rPr>
                <w:rFonts w:hint="eastAsia" w:ascii="宋体" w:hAnsi="宋体" w:eastAsia="宋体" w:cs="宋体"/>
                <w:color w:val="000000"/>
                <w:kern w:val="0"/>
                <w:sz w:val="24"/>
                <w:szCs w:val="24"/>
                <w:highlight w:val="none"/>
                <w:lang w:bidi="ar"/>
                <w14:ligatures w14:val="none"/>
              </w:rPr>
              <w:t>校方管理平台方案</w:t>
            </w:r>
          </w:p>
        </w:tc>
        <w:tc>
          <w:tcPr>
            <w:tcW w:w="1473" w:type="dxa"/>
            <w:gridSpan w:val="3"/>
            <w:vAlign w:val="center"/>
          </w:tcPr>
          <w:p w14:paraId="4598889D">
            <w:pPr>
              <w:widowControl/>
              <w:tabs>
                <w:tab w:val="left" w:pos="1080"/>
                <w:tab w:val="left" w:pos="1872"/>
              </w:tabs>
              <w:snapToGrid w:val="0"/>
              <w:spacing w:after="0" w:line="360" w:lineRule="auto"/>
              <w:jc w:val="center"/>
              <w:rPr>
                <w:rFonts w:hint="eastAsia" w:ascii="宋体" w:hAnsi="宋体" w:eastAsia="宋体" w:cs="Times New Roman"/>
                <w:kern w:val="0"/>
                <w:sz w:val="24"/>
                <w:szCs w:val="24"/>
                <w:highlight w:val="none"/>
                <w14:ligatures w14:val="none"/>
              </w:rPr>
            </w:pPr>
            <w:r>
              <w:rPr>
                <w:rFonts w:ascii="宋体" w:hAnsi="宋体" w:eastAsia="宋体" w:cs="Times New Roman"/>
                <w:kern w:val="0"/>
                <w:sz w:val="24"/>
                <w:szCs w:val="24"/>
                <w:highlight w:val="none"/>
                <w14:ligatures w14:val="none"/>
              </w:rPr>
              <w:t>6</w:t>
            </w:r>
          </w:p>
        </w:tc>
        <w:tc>
          <w:tcPr>
            <w:tcW w:w="4843" w:type="dxa"/>
            <w:vAlign w:val="center"/>
          </w:tcPr>
          <w:p w14:paraId="35E65BE8">
            <w:pPr>
              <w:widowControl/>
              <w:tabs>
                <w:tab w:val="left" w:pos="1080"/>
                <w:tab w:val="left" w:pos="1872"/>
              </w:tabs>
              <w:snapToGrid w:val="0"/>
              <w:spacing w:after="0" w:line="360" w:lineRule="auto"/>
              <w:rPr>
                <w:rFonts w:hint="eastAsia" w:ascii="宋体" w:hAnsi="宋体" w:eastAsia="宋体" w:cs="宋体"/>
                <w:color w:val="000000"/>
                <w:kern w:val="0"/>
                <w:sz w:val="24"/>
                <w:szCs w:val="24"/>
                <w:highlight w:val="none"/>
                <w:lang w:bidi="ar"/>
                <w14:ligatures w14:val="none"/>
              </w:rPr>
            </w:pPr>
            <w:r>
              <w:rPr>
                <w:rFonts w:hint="eastAsia" w:ascii="宋体" w:hAnsi="宋体" w:eastAsia="宋体" w:cs="宋体"/>
                <w:color w:val="000000"/>
                <w:kern w:val="0"/>
                <w:sz w:val="24"/>
                <w:szCs w:val="24"/>
                <w:highlight w:val="none"/>
                <w:lang w:bidi="ar"/>
                <w14:ligatures w14:val="none"/>
              </w:rPr>
              <w:t>投标供应商应需充分了解项目情况，拟定校方专属的共享车管理平台方案，包括校方端口能够查看车辆数量、车辆布局、热力图等，随时了解车辆骑行情况，以及监管公司对共享车辆的管理情况。</w:t>
            </w:r>
          </w:p>
          <w:p w14:paraId="5E1B507D">
            <w:pPr>
              <w:widowControl/>
              <w:tabs>
                <w:tab w:val="left" w:pos="1080"/>
                <w:tab w:val="left" w:pos="1872"/>
              </w:tabs>
              <w:snapToGrid w:val="0"/>
              <w:spacing w:after="0" w:line="360" w:lineRule="auto"/>
              <w:rPr>
                <w:rFonts w:hint="eastAsia" w:ascii="宋体" w:hAnsi="宋体" w:eastAsia="宋体" w:cs="宋体"/>
                <w:color w:val="000000"/>
                <w:kern w:val="0"/>
                <w:sz w:val="24"/>
                <w:szCs w:val="24"/>
                <w:highlight w:val="none"/>
                <w:lang w:bidi="ar"/>
                <w14:ligatures w14:val="none"/>
              </w:rPr>
            </w:pPr>
            <w:r>
              <w:rPr>
                <w:rFonts w:hint="eastAsia" w:ascii="宋体" w:hAnsi="宋体" w:eastAsia="宋体" w:cs="宋体"/>
                <w:color w:val="000000"/>
                <w:kern w:val="0"/>
                <w:sz w:val="24"/>
                <w:szCs w:val="24"/>
                <w:highlight w:val="none"/>
                <w:lang w:bidi="ar"/>
                <w14:ligatures w14:val="none"/>
              </w:rPr>
              <w:t>1）方案详细具体、针对性强、可行性高，得</w:t>
            </w:r>
            <w:r>
              <w:rPr>
                <w:rFonts w:ascii="宋体" w:hAnsi="宋体" w:eastAsia="宋体" w:cs="宋体"/>
                <w:color w:val="000000"/>
                <w:kern w:val="0"/>
                <w:sz w:val="24"/>
                <w:szCs w:val="24"/>
                <w:highlight w:val="none"/>
                <w:lang w:bidi="ar"/>
                <w14:ligatures w14:val="none"/>
              </w:rPr>
              <w:t>6</w:t>
            </w:r>
            <w:r>
              <w:rPr>
                <w:rFonts w:hint="eastAsia" w:ascii="宋体" w:hAnsi="宋体" w:eastAsia="宋体" w:cs="宋体"/>
                <w:color w:val="000000"/>
                <w:kern w:val="0"/>
                <w:sz w:val="24"/>
                <w:szCs w:val="24"/>
                <w:highlight w:val="none"/>
                <w:lang w:bidi="ar"/>
                <w14:ligatures w14:val="none"/>
              </w:rPr>
              <w:t>分；</w:t>
            </w:r>
          </w:p>
          <w:p w14:paraId="45B7E423">
            <w:pPr>
              <w:widowControl/>
              <w:tabs>
                <w:tab w:val="left" w:pos="1080"/>
                <w:tab w:val="left" w:pos="1872"/>
              </w:tabs>
              <w:snapToGrid w:val="0"/>
              <w:spacing w:after="0" w:line="360" w:lineRule="auto"/>
              <w:rPr>
                <w:rFonts w:hint="eastAsia" w:ascii="宋体" w:hAnsi="宋体" w:eastAsia="宋体" w:cs="宋体"/>
                <w:color w:val="000000"/>
                <w:kern w:val="0"/>
                <w:sz w:val="24"/>
                <w:szCs w:val="24"/>
                <w:highlight w:val="none"/>
                <w:lang w:bidi="ar"/>
                <w14:ligatures w14:val="none"/>
              </w:rPr>
            </w:pPr>
            <w:r>
              <w:rPr>
                <w:rFonts w:hint="eastAsia" w:ascii="宋体" w:hAnsi="宋体" w:eastAsia="宋体" w:cs="宋体"/>
                <w:color w:val="000000"/>
                <w:kern w:val="0"/>
                <w:sz w:val="24"/>
                <w:szCs w:val="24"/>
                <w:highlight w:val="none"/>
                <w:lang w:bidi="ar"/>
                <w14:ligatures w14:val="none"/>
              </w:rPr>
              <w:t>2）方案基本完整、有一定针对性、可行性一般，得</w:t>
            </w:r>
            <w:r>
              <w:rPr>
                <w:rFonts w:ascii="宋体" w:hAnsi="宋体" w:eastAsia="宋体" w:cs="宋体"/>
                <w:color w:val="000000"/>
                <w:kern w:val="0"/>
                <w:sz w:val="24"/>
                <w:szCs w:val="24"/>
                <w:highlight w:val="none"/>
                <w:lang w:bidi="ar"/>
                <w14:ligatures w14:val="none"/>
              </w:rPr>
              <w:t>4</w:t>
            </w:r>
            <w:r>
              <w:rPr>
                <w:rFonts w:hint="eastAsia" w:ascii="宋体" w:hAnsi="宋体" w:eastAsia="宋体" w:cs="宋体"/>
                <w:color w:val="000000"/>
                <w:kern w:val="0"/>
                <w:sz w:val="24"/>
                <w:szCs w:val="24"/>
                <w:highlight w:val="none"/>
                <w:lang w:bidi="ar"/>
                <w14:ligatures w14:val="none"/>
              </w:rPr>
              <w:t>分；</w:t>
            </w:r>
          </w:p>
          <w:p w14:paraId="0008C442">
            <w:pPr>
              <w:widowControl/>
              <w:tabs>
                <w:tab w:val="left" w:pos="1080"/>
                <w:tab w:val="left" w:pos="1872"/>
              </w:tabs>
              <w:snapToGrid w:val="0"/>
              <w:spacing w:after="0" w:line="360" w:lineRule="auto"/>
              <w:rPr>
                <w:rFonts w:hint="eastAsia" w:ascii="宋体" w:hAnsi="宋体" w:eastAsia="宋体" w:cs="宋体"/>
                <w:color w:val="000000"/>
                <w:kern w:val="0"/>
                <w:sz w:val="24"/>
                <w:szCs w:val="24"/>
                <w:highlight w:val="none"/>
                <w:lang w:bidi="ar"/>
                <w14:ligatures w14:val="none"/>
              </w:rPr>
            </w:pPr>
            <w:r>
              <w:rPr>
                <w:rFonts w:hint="eastAsia" w:ascii="宋体" w:hAnsi="宋体" w:eastAsia="宋体" w:cs="宋体"/>
                <w:color w:val="000000"/>
                <w:kern w:val="0"/>
                <w:sz w:val="24"/>
                <w:szCs w:val="24"/>
                <w:highlight w:val="none"/>
                <w:lang w:bidi="ar"/>
                <w14:ligatures w14:val="none"/>
              </w:rPr>
              <w:t>3）方案不完整、缺乏针对性、可行性差，得2分。</w:t>
            </w:r>
          </w:p>
          <w:p w14:paraId="7B8DCAE0">
            <w:pPr>
              <w:widowControl/>
              <w:tabs>
                <w:tab w:val="left" w:pos="1080"/>
                <w:tab w:val="left" w:pos="1872"/>
              </w:tabs>
              <w:snapToGrid w:val="0"/>
              <w:spacing w:after="0" w:line="360" w:lineRule="auto"/>
              <w:rPr>
                <w:rFonts w:ascii="Times New Roman" w:hAnsi="Times New Roman" w:eastAsia="宋体" w:cs="Times New Roman"/>
                <w:kern w:val="0"/>
                <w:sz w:val="24"/>
                <w:szCs w:val="24"/>
                <w:highlight w:val="none"/>
                <w14:ligatures w14:val="none"/>
              </w:rPr>
            </w:pPr>
            <w:r>
              <w:rPr>
                <w:rFonts w:hint="eastAsia" w:ascii="宋体" w:hAnsi="宋体" w:eastAsia="宋体" w:cs="宋体"/>
                <w:color w:val="000000"/>
                <w:kern w:val="0"/>
                <w:sz w:val="24"/>
                <w:szCs w:val="24"/>
                <w:highlight w:val="none"/>
                <w:lang w:bidi="ar"/>
                <w14:ligatures w14:val="none"/>
              </w:rPr>
              <w:t>4）未提供不得分。</w:t>
            </w:r>
          </w:p>
        </w:tc>
      </w:tr>
      <w:tr w14:paraId="4D3FE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1786AF06">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5</w:t>
            </w:r>
          </w:p>
        </w:tc>
        <w:tc>
          <w:tcPr>
            <w:tcW w:w="1012" w:type="dxa"/>
            <w:vAlign w:val="center"/>
          </w:tcPr>
          <w:p w14:paraId="61C940B3">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安全保障方案</w:t>
            </w:r>
          </w:p>
        </w:tc>
        <w:tc>
          <w:tcPr>
            <w:tcW w:w="1473" w:type="dxa"/>
            <w:gridSpan w:val="3"/>
            <w:vAlign w:val="center"/>
          </w:tcPr>
          <w:p w14:paraId="64A2D785">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5</w:t>
            </w:r>
          </w:p>
        </w:tc>
        <w:tc>
          <w:tcPr>
            <w:tcW w:w="4843" w:type="dxa"/>
            <w:vAlign w:val="center"/>
          </w:tcPr>
          <w:p w14:paraId="169F10F3">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投标供应商应履行安全生产责任，提供安全生产责任制度、安全保障措施、消防安全、校外充电方案、配备头盔等安全方案。</w:t>
            </w:r>
          </w:p>
          <w:p w14:paraId="6C90C164">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1）方案详细具体、针对性强、可行性高，得5分；</w:t>
            </w:r>
          </w:p>
          <w:p w14:paraId="298FD330">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2）方案基本完整、有一定针对性、可行性一般，得3分；</w:t>
            </w:r>
          </w:p>
          <w:p w14:paraId="371353A6">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3）方案不完整、缺乏针对性、可行性差，得1分；</w:t>
            </w:r>
          </w:p>
          <w:p w14:paraId="2FFCE381">
            <w:pPr>
              <w:widowControl/>
              <w:tabs>
                <w:tab w:val="left" w:pos="1080"/>
                <w:tab w:val="left" w:pos="1872"/>
              </w:tabs>
              <w:snapToGrid w:val="0"/>
              <w:spacing w:after="0" w:line="360" w:lineRule="auto"/>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4）未提供方案不得分。</w:t>
            </w:r>
          </w:p>
        </w:tc>
      </w:tr>
      <w:tr w14:paraId="459A6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709C9702">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6</w:t>
            </w:r>
          </w:p>
        </w:tc>
        <w:tc>
          <w:tcPr>
            <w:tcW w:w="1012" w:type="dxa"/>
            <w:vAlign w:val="center"/>
          </w:tcPr>
          <w:p w14:paraId="35C002A8">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应急服务方案</w:t>
            </w:r>
          </w:p>
        </w:tc>
        <w:tc>
          <w:tcPr>
            <w:tcW w:w="1473" w:type="dxa"/>
            <w:gridSpan w:val="3"/>
            <w:vAlign w:val="center"/>
          </w:tcPr>
          <w:p w14:paraId="220B2714">
            <w:pPr>
              <w:widowControl/>
              <w:tabs>
                <w:tab w:val="left" w:pos="1080"/>
                <w:tab w:val="left" w:pos="1872"/>
              </w:tabs>
              <w:snapToGrid w:val="0"/>
              <w:spacing w:after="0" w:line="360" w:lineRule="auto"/>
              <w:jc w:val="center"/>
              <w:rPr>
                <w:rFonts w:hint="eastAsia" w:ascii="宋体" w:hAnsi="宋体" w:eastAsia="宋体" w:cs="Times New Roman"/>
                <w:kern w:val="0"/>
                <w:sz w:val="24"/>
                <w:szCs w:val="24"/>
                <w14:ligatures w14:val="none"/>
              </w:rPr>
            </w:pPr>
            <w:r>
              <w:rPr>
                <w:rFonts w:hint="eastAsia" w:ascii="宋体" w:hAnsi="宋体" w:eastAsia="宋体" w:cs="Times New Roman"/>
                <w:kern w:val="0"/>
                <w:sz w:val="24"/>
                <w:szCs w:val="24"/>
                <w14:ligatures w14:val="none"/>
              </w:rPr>
              <w:t>3</w:t>
            </w:r>
          </w:p>
        </w:tc>
        <w:tc>
          <w:tcPr>
            <w:tcW w:w="4843" w:type="dxa"/>
            <w:vAlign w:val="center"/>
          </w:tcPr>
          <w:p w14:paraId="504D1299">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投标供应商针对本项目提供应急保障方案，包括但不限于对突发事件响应及处理方法、应急措施等内容。由评审小组对以上内容进行综合比较后打分：</w:t>
            </w:r>
          </w:p>
          <w:p w14:paraId="100EF2F0">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1）方案全面、条理清晰、符合项目特点、可执行性强得3分；</w:t>
            </w:r>
          </w:p>
          <w:p w14:paraId="21BE6F45">
            <w:pPr>
              <w:widowControl/>
              <w:tabs>
                <w:tab w:val="left" w:pos="1080"/>
                <w:tab w:val="left" w:pos="1872"/>
              </w:tabs>
              <w:snapToGrid w:val="0"/>
              <w:spacing w:after="0" w:line="360" w:lineRule="auto"/>
              <w:rPr>
                <w:rFonts w:hint="eastAsia" w:ascii="宋体" w:hAnsi="宋体" w:eastAsia="宋体" w:cs="宋体"/>
                <w:color w:val="000000"/>
                <w:kern w:val="0"/>
                <w:sz w:val="24"/>
                <w:szCs w:val="24"/>
                <w:lang w:bidi="ar"/>
                <w14:ligatures w14:val="none"/>
              </w:rPr>
            </w:pPr>
            <w:r>
              <w:rPr>
                <w:rFonts w:hint="eastAsia" w:ascii="宋体" w:hAnsi="宋体" w:eastAsia="宋体" w:cs="宋体"/>
                <w:color w:val="000000"/>
                <w:kern w:val="0"/>
                <w:sz w:val="24"/>
                <w:szCs w:val="24"/>
                <w:lang w:bidi="ar"/>
                <w14:ligatures w14:val="none"/>
              </w:rPr>
              <w:t>2）方案有缺陷、条理不清晰、与项目特点有差异、可执行性较差得1分；</w:t>
            </w:r>
          </w:p>
          <w:p w14:paraId="0975DAD8">
            <w:pPr>
              <w:widowControl/>
              <w:tabs>
                <w:tab w:val="left" w:pos="1080"/>
                <w:tab w:val="left" w:pos="1872"/>
              </w:tabs>
              <w:snapToGrid w:val="0"/>
              <w:spacing w:after="0" w:line="360" w:lineRule="auto"/>
              <w:rPr>
                <w:rFonts w:ascii="Times New Roman" w:hAnsi="Times New Roman" w:eastAsia="宋体" w:cs="Times New Roman"/>
                <w:kern w:val="0"/>
                <w:sz w:val="24"/>
                <w:szCs w:val="24"/>
                <w14:ligatures w14:val="none"/>
              </w:rPr>
            </w:pPr>
            <w:r>
              <w:rPr>
                <w:rFonts w:hint="eastAsia" w:ascii="宋体" w:hAnsi="宋体" w:eastAsia="宋体" w:cs="宋体"/>
                <w:color w:val="000000"/>
                <w:kern w:val="0"/>
                <w:sz w:val="24"/>
                <w:szCs w:val="24"/>
                <w:lang w:bidi="ar"/>
                <w14:ligatures w14:val="none"/>
              </w:rPr>
              <w:t>3）未提供不得分。</w:t>
            </w:r>
          </w:p>
        </w:tc>
      </w:tr>
      <w:tr w14:paraId="2B454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vAlign w:val="center"/>
          </w:tcPr>
          <w:p w14:paraId="665DFE1B">
            <w:pPr>
              <w:widowControl/>
              <w:tabs>
                <w:tab w:val="left" w:pos="1080"/>
                <w:tab w:val="left" w:pos="1872"/>
              </w:tabs>
              <w:snapToGrid w:val="0"/>
              <w:spacing w:after="0" w:line="360" w:lineRule="auto"/>
              <w:jc w:val="center"/>
              <w:rPr>
                <w:rFonts w:hint="eastAsia" w:ascii="宋体" w:hAnsi="宋体" w:eastAsia="宋体" w:cs="Times New Roman"/>
                <w:kern w:val="0"/>
                <w:sz w:val="24"/>
                <w:szCs w:val="24"/>
                <w:highlight w:val="none"/>
                <w14:ligatures w14:val="none"/>
              </w:rPr>
            </w:pPr>
            <w:r>
              <w:rPr>
                <w:rFonts w:hint="eastAsia" w:ascii="宋体" w:hAnsi="宋体" w:eastAsia="宋体" w:cs="Times New Roman"/>
                <w:kern w:val="0"/>
                <w:sz w:val="24"/>
                <w:szCs w:val="24"/>
                <w:highlight w:val="none"/>
                <w14:ligatures w14:val="none"/>
              </w:rPr>
              <w:t>7</w:t>
            </w:r>
          </w:p>
        </w:tc>
        <w:tc>
          <w:tcPr>
            <w:tcW w:w="1012" w:type="dxa"/>
            <w:vAlign w:val="center"/>
          </w:tcPr>
          <w:p w14:paraId="64303A5E">
            <w:pPr>
              <w:widowControl/>
              <w:tabs>
                <w:tab w:val="left" w:pos="1080"/>
                <w:tab w:val="left" w:pos="1872"/>
              </w:tabs>
              <w:snapToGrid w:val="0"/>
              <w:spacing w:after="0" w:line="360" w:lineRule="auto"/>
              <w:jc w:val="center"/>
              <w:rPr>
                <w:rFonts w:hint="eastAsia" w:ascii="宋体" w:hAnsi="宋体" w:eastAsia="宋体" w:cs="宋体"/>
                <w:color w:val="000000"/>
                <w:kern w:val="0"/>
                <w:sz w:val="24"/>
                <w:szCs w:val="24"/>
                <w:highlight w:val="none"/>
                <w:lang w:bidi="ar"/>
                <w14:ligatures w14:val="none"/>
              </w:rPr>
            </w:pPr>
            <w:r>
              <w:rPr>
                <w:rFonts w:hint="eastAsia" w:ascii="宋体" w:hAnsi="宋体" w:eastAsia="宋体" w:cs="宋体"/>
                <w:color w:val="000000"/>
                <w:kern w:val="0"/>
                <w:sz w:val="24"/>
                <w:szCs w:val="24"/>
                <w:highlight w:val="none"/>
                <w:lang w:bidi="ar"/>
                <w14:ligatures w14:val="none"/>
              </w:rPr>
              <w:t>增值服务</w:t>
            </w:r>
          </w:p>
        </w:tc>
        <w:tc>
          <w:tcPr>
            <w:tcW w:w="1473" w:type="dxa"/>
            <w:gridSpan w:val="3"/>
            <w:vAlign w:val="center"/>
          </w:tcPr>
          <w:p w14:paraId="7D406C03">
            <w:pPr>
              <w:widowControl/>
              <w:tabs>
                <w:tab w:val="left" w:pos="1080"/>
                <w:tab w:val="left" w:pos="1872"/>
              </w:tabs>
              <w:snapToGrid w:val="0"/>
              <w:spacing w:after="0" w:line="360" w:lineRule="auto"/>
              <w:jc w:val="center"/>
              <w:rPr>
                <w:rFonts w:hint="eastAsia" w:ascii="宋体" w:hAnsi="宋体" w:eastAsia="宋体" w:cs="Times New Roman"/>
                <w:kern w:val="0"/>
                <w:sz w:val="24"/>
                <w:szCs w:val="24"/>
                <w:highlight w:val="none"/>
                <w14:ligatures w14:val="none"/>
              </w:rPr>
            </w:pPr>
            <w:r>
              <w:rPr>
                <w:rFonts w:ascii="宋体" w:hAnsi="宋体" w:eastAsia="宋体" w:cs="Times New Roman"/>
                <w:kern w:val="0"/>
                <w:sz w:val="24"/>
                <w:szCs w:val="24"/>
                <w:highlight w:val="none"/>
                <w14:ligatures w14:val="none"/>
              </w:rPr>
              <w:t>5</w:t>
            </w:r>
          </w:p>
        </w:tc>
        <w:tc>
          <w:tcPr>
            <w:tcW w:w="4843" w:type="dxa"/>
            <w:vAlign w:val="center"/>
          </w:tcPr>
          <w:p w14:paraId="0DDC4D8B">
            <w:pPr>
              <w:widowControl/>
              <w:tabs>
                <w:tab w:val="left" w:pos="1080"/>
                <w:tab w:val="left" w:pos="1872"/>
              </w:tabs>
              <w:snapToGrid w:val="0"/>
              <w:spacing w:after="0" w:line="360" w:lineRule="auto"/>
              <w:rPr>
                <w:rFonts w:hint="eastAsia" w:ascii="宋体" w:hAnsi="宋体" w:eastAsia="宋体" w:cs="宋体"/>
                <w:color w:val="000000"/>
                <w:kern w:val="0"/>
                <w:sz w:val="24"/>
                <w:szCs w:val="24"/>
                <w:highlight w:val="none"/>
                <w:lang w:bidi="ar"/>
                <w14:ligatures w14:val="none"/>
              </w:rPr>
            </w:pPr>
            <w:r>
              <w:rPr>
                <w:rFonts w:hint="eastAsia" w:ascii="宋体" w:hAnsi="宋体" w:eastAsia="宋体" w:cs="宋体"/>
                <w:color w:val="000000"/>
                <w:kern w:val="0"/>
                <w:sz w:val="24"/>
                <w:szCs w:val="24"/>
                <w:highlight w:val="none"/>
                <w:lang w:bidi="ar"/>
                <w14:ligatures w14:val="none"/>
              </w:rPr>
              <w:t>投标供应商针对本项目提供相关增值服务，每有一条被评审小组认可得1分，共5分。未提供不得分。</w:t>
            </w:r>
          </w:p>
        </w:tc>
      </w:tr>
    </w:tbl>
    <w:p w14:paraId="7029D0FF">
      <w:pPr>
        <w:jc w:val="center"/>
        <w:rPr>
          <w:rFonts w:hint="default" w:ascii="仿宋" w:hAnsi="仿宋" w:eastAsia="仿宋" w:cs="仿宋"/>
          <w:b/>
          <w:bCs/>
          <w:i w:val="0"/>
          <w:iCs w:val="0"/>
          <w:caps w:val="0"/>
          <w:color w:val="333333"/>
          <w:spacing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xZWM5YTdkNmNmNzUxZTNmMjg3MTIwOGZlNTI4MjcifQ=="/>
  </w:docVars>
  <w:rsids>
    <w:rsidRoot w:val="47272941"/>
    <w:rsid w:val="10F6243B"/>
    <w:rsid w:val="32556C13"/>
    <w:rsid w:val="398470DE"/>
    <w:rsid w:val="47272941"/>
    <w:rsid w:val="65FA0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pPr>
      <w:spacing w:after="0" w:line="240" w:lineRule="auto"/>
    </w:pPr>
    <w:rPr>
      <w:rFonts w:ascii="Times New Roman" w:hAnsi="Times New Roman" w:eastAsia="宋体" w:cs="Times New Roman"/>
      <w:kern w:val="0"/>
      <w:sz w:val="20"/>
      <w:szCs w:val="20"/>
      <w14:ligatures w14:val="none"/>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
    <w:name w:val="正文1"/>
    <w:autoRedefine/>
    <w:qFormat/>
    <w:uiPriority w:val="0"/>
    <w:pPr>
      <w:widowControl w:val="0"/>
      <w:spacing w:after="0" w:line="240" w:lineRule="auto"/>
      <w:jc w:val="both"/>
    </w:pPr>
    <w:rPr>
      <w:rFonts w:ascii="Times New Roman" w:hAnsi="Times New Roman" w:eastAsia="宋体" w:cs="Times New Roman"/>
      <w:kern w:val="0"/>
      <w:sz w:val="21"/>
      <w:szCs w:val="24"/>
      <w:lang w:val="en-US" w:eastAsia="zh-CN" w:bidi="ar-SA"/>
      <w14:ligatures w14: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1763</Words>
  <Characters>1824</Characters>
  <Lines>0</Lines>
  <Paragraphs>0</Paragraphs>
  <TotalTime>3</TotalTime>
  <ScaleCrop>false</ScaleCrop>
  <LinksUpToDate>false</LinksUpToDate>
  <CharactersWithSpaces>1824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2024-09-25T01:24:00Z</dcterms:created>
  <dc:creator>WPS_1587458221</dc:creator>
  <cp:lastModifiedBy>WPS_1587458221</cp:lastModifiedBy>
  <dcterms:modified xsi:type="dcterms:W3CDTF">2024-09-25T02:09:18Z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FCB4ED75B1254D3B93F1B572B2873FFB_11</vt:lpwstr>
  </property>
</Properties>
</file>